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2021年度</w:t>
              <w:br w:type="textWrapping"/>
              <w:t/>
            </w:r>
            <w:r>
              <w:rPr>
                <w:rFonts w:ascii="宋体" w:hAnsi="宋体" w:cs="宋体" w:eastAsia="宋体"/>
                <w:b w:val="true"/>
                <w:sz w:val="52"/>
              </w:rPr>
              <w:t>南京市雨花台区卫生健康委员会</w:t>
            </w:r>
            <w:r>
              <w:rPr>
                <w:rFonts w:ascii="宋体" w:hAnsi="宋体" w:cs="宋体" w:eastAsia="宋体"/>
                <w:b w:val="true"/>
                <w:sz w:val="52"/>
              </w:rPr>
              <w:t xml:space="preserve"></w:t>
              <w:br w:type="textWrapping"/>
              <w:t>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实施国家和省、市有关国民健康政策，拟订全区卫生健康事业发展规划并组织实施。统筹规划区域卫生健康资源配置和信息化建设工作。制定并组织实施推进卫生健康基本公共服务均等化、普惠化、便捷化和公共资源向基层延伸等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（二）贯彻实施健康江苏、健康南京战略工作，研究提出健康雨花建设的政策建议、制度措施和职责分工并协调实施。统筹区域健康促进与健康服务工作。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调推进深化医药卫生体制改革，会同相关部门研究提出深化区域医药卫生体制改革重大部暑、政策、措施的建议。组织推动公立医院综合改革，推进管办分离，健全现代医院管理制度，贯彻实施卫生健康公共服务提供主体多元化、提供方式多样化的政策措施，提出医疗服务和药品价格政策的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（四）贯彻实施国家中医药法律、法规，拟订并组织实施全区中医药中长期发展规划，并纳入全区卫生健康事业发展总体规划和战略目标。负责中医药和中西医结合工作的管理。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制定并组织落实全区疾病预防控制规划、免疫规划以及严重危害人民健康公共卫生问题的干预措施。负责全区卫生应急工作，组织指导突发公共卫生事件的预防控制和各类突发公共事件的医疗卫生救援。依照授权发布法定报告传染病疫情信息、突发公共卫生事件应急处置信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（六）协调落实全区应对人口老龄化政策措施，负责推进全区老年健康服务体系建设和医养结合工作。承担区老龄工作委员会的具体工作。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（七）开展药品使用监测、临床综合评价和短缺药品预警。组织拟订并实施全区药事管理规定和基本药物遴选、采购、配送、使用的措施。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（八）贯彻实施国家、省、市颁布的医疗机构和医疗服务全行业管理办法、卫生健康专业技术人员资格标准、执业规则和服务规范。建立全区医疗服务评价和监督管理体系。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（九）贯彻实施国家、省、市职业卫生、放射卫生相关政策、地方标准。组织开展职业病监测、专项调查、职业健康风险评估和职业人群健康管理工作。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负责职责范围内的职业卫生、放射卫生、学校卫生、公共场所卫生、饮用水卫生等公共卫生的监督管理，负责传染病、职业病防治监督，健全卫生健康综合监督体系，推进全区卫生健康诚信体系建设。组织开展食品安全风险监测、评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（十一）贯彻实施国家、省、市计划生育政策，落实人口发展规划相关任务。负责计划生育管理和服务工作，开展人口监测预警，研究提出人口与家庭发展相关政策建议。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（十二）指导全区基层卫生健康工作，推进基层医疗卫生、妇幼健康服务体系和全科医生队伍建设。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（十三）拟订全区卫生健康科技发展规划，组织实施卫生健康相关科研项目。推进卫生健康科技创新发展。组织实施毕业后医学教育和继续医学教育工作。组织开展住院医师和专科医师规范化培训工作。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（十四）拟订全区卫生健康人才发展规划，指导卫生健康人才队伍建设。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（十五）负责卫生健康宣传、健康教育等工作。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（十六）负责区干部保健委员会确定的保健对象的医疗保健工作，负责区级部门有关干部医疗管理工作，负责重要会议与重大活动的医疗卫生保障工作。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（十七）承担健康雨花建设领导小组、区爱国卫生运动委员会等的具体工作。指导区计划生育协会的业务工作。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（十八）完成区委、区政府交办的其他任务。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办公室（组织人事科）、规划发展与信息化科、财务科、医政科、基层卫生健康科、疾病预防控制科、综合监督科、健康促进科、药事管理科、人口监测与家庭发展科、干部保健办公室。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（一）毫不松懈做好疫情防控工作。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不断完善体制机制，强化组织保障。完善卫健系统“平急转换”指挥机制，从严从紧抓好“外防输入、内防反弹”，科学精准开展疫情防控，毫不松懈筑牢疫情防控安全网。印发3-11岁人员、12-17岁学生新冠疫苗接种工作方案、加强免疫接种实施方案，稳步有序推进重点工作。修订完善《雨花台区新冠肺炎全员核酸检测工作预案》《雨花台区新冠肺炎疫情应急处置预案》《雨花台区2022年元旦春节期间新冠肺炎聚集性疫情应急处置方案》，编制《雨花台区新冠肺炎疫情应急处置实操手册》，积极做好突发疫情应急处置准备工作。以区防控办名义印发《雨花台区公共场所预防性消毒技术指南》《关于再次明确入境人员解除隔离后健康管理措施的通知》《关于进一步加强新冠肺炎疫情防控期间受捐物资管理的通知》等文件近40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常态化疫情控制工作扎实开展。（1）严守风险输入关口。严格落实入境人员闭环管理和28天跟踪健康监测，2021年累计规范管理境外入境人员9012人，开展28天跟踪居家健康监测143人。加强来宁人员核查，各街道（园区）、社区加强对地区协防组名单核查，并做好主动排查，实施分级分类管理。加强进口货物排查，2021年完成进口货物监测采样32471份、环境3507份、从业人员3471人次，结果均为阴性。（2）落实重点场所疫情防控措施。加强医疗卫生机构院感防控工作，成立院感督查专班，编印感控工作专报75期。（3）确保重点人群核酸检测“应检尽检”。明确39类“应检尽检”重点人群，压紧11个部门和8个街道（园区）的主体责任。2021年累计摸排116164人，完成采样检测274631人次，结果均为阴性，全区“应检尽检”完成率加快提升，达到96.10%。（4）加强医疗机构“哨点”建设。坚决落实“四早”要求，积极推进全区发热门诊、发热诊室规范化建设，目前建成雨花医院发热门诊，西善桥、赛虹桥、岱山等3个社区卫生服务中心发热诊室，并积极推进梅山医院发热门诊改建。医疗机构从严落实预检分诊制度，落实首诊负责制，确保异常情况第一时间响应。（5）做好高风险岗位人员闭环管理。印发《雨花台区新冠肺炎疫情防控高风险岗位工作人员闭环管理工作方案》，全区现有高风险岗位人员底数509人，均严格落实定职定岗、疫苗接种、常态化核酸检测等闭环管理措施。（6）做好重大活动会议安全保障。坚持“非必要不举办”原则，严控大型线下聚集性活动，确需线下举办的，遵照“谁举办、谁负责，谁组织、谁负责”，压缩会议活动规模，严控参加人数，严格落实举办方、举办场所和监管部门责任。2021年累计保障166场次（其中会议保障共计65场次，考试保障29场次，活动保障72场次），涉及保障人数共304人次。（7）积极做好医疗救治服务保障。医疗服务保障721人次。积极开展中医药特色防疫，在集中隔离点加强中医药防治应用，累计配送中药预防汤剂48501剂。（8）全力推进疫苗接种工作。截止2021年底，全区60.88万人新冠疫苗首针接种率为87.99%，二针接种率83.77%，完成加强针接种102807剂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应急处置能力不断提升。（1）科学精准处置多起疫情。2021年7月12日，我区报告并处置1例境外输入关联新冠肺炎疫情。7月20日南京禄口机场疫情暴发后，组织开展“4+2”轮大规模核酸检测，完成核酸检测320万人次，封闭封控3个小区，涉及群众2.2万余人，全区4例本土确诊病例均及时得到转运救治，成功阻断区内疫情传播。妥善处置多起货物检出阳性事件，对人员环境均落实严格管控。（2）流调队伍建设不断加强。全区有10组流调队伍共80人，每组设三级小分队，由卫生专业技术人员、公安、消毒人员汇编组成。疫情发生期间，切实做到2小时内到达现场，4小时内完成流行病学核心信息调查，24小时内形成完整流调报告。（3）应对大规模核酸采样检测能力提升。科学设置374个采样点共568张采样台。现有雨花医院、梅山医院2所医院开展核酸检测工作。与6家第三方公司签定协议提供核酸检测服务，负责各街道（园区）、各隔离点样本收集、运输和检测工作，确保按期完成60.88万人核酸检测工作。全区10家医疗卫生机构930名医务人员承担核酸采样工作。做好大规模核酸采样物资保，确保应急状态下随时紧急使用。（4）加强集中隔离点应急储备。根据在用隔离场所数量、已使用房间数、剩余房间数等统筹储备，同时考虑入境人员、来自中高风险地区人员等增多后的隔离接纳能力，对全区集中隔离场所实施动态管理。2021年，最高峰时同时设置22个集中隔离点、1个爱心宾馆，入住近4000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全力推进高质量发展考核指标争先进位。2021年市对卫生健康工作的高质量发展考核指标为基层医疗卫生机构诊疗量占比。2021年全区总诊疗量257万人次，同比增长9.1%，基层诊疗量189万人次，同比增长13.17%，基层医疗卫生机构诊疗量占比73.54%，位列全市第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医疗卫生服务体系进一步完善。省妇幼保健院项目稳步推进。3月24日，在全区2021年土地招商推介会上，雨花台区人民政府与江苏省人民医院正式签署江苏省妇幼保健院总部项目建设协议。积极与省妇幼保健院对接，拟定《江苏省妇幼保健院方案设计（征求意见稿）》，完成一级流程设计。目前，省妇幼保健院总部项目工程处于总承包招标阶段。“15分钟健康服务圈”持续完善。雨花经济开发区社区卫生服务中心开诊试运行，稳步推进岱南社区卫生服务中心建设。西善桥琥珀森林、板桥古雄社区卫生服务站通过省标准化建设市级验收。新建西寇社区、西善花苑、铁心社区3个家庭医生工作室；完成雨花丁墙社区卫生服务站升级改造。急救体系进一步健全。雨花医院急救分站建成运行，全区累计建成2个120急救分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医疗服务综合能力进一步增强。一是雨花医院加快发展。推进雨花医院“二甲医院”创建工作，新建2个学科（重症医学科、老年医学科），建成2个区级重点专科（检验科、呼吸科），创建成为南京市老年友善医院；积极拓展医疗新技术8项，开展5个专业16个病种临床路径管理工作；省、市、区级课题立项共5项，2项科研课题通过区级评审，获得实用新型专利1个。2021年度，医院门急诊人次222504人次，同比增长77.56%；总收入1.259亿元，同比增长16.18%。二是基层卫生服务能力稳步提升。巩固江苏省社区医院示范区成果，创建案例被评为雨花台区优秀改革案例，板桥社区卫生服务中心建成2021年省级社区医院，全区累计建成6家社区医院。梅山社区卫生服务中心通过国家“优质服务基层行”活动基本标准市级评审，全区参与率、达标率均达100%。全区新增2个省级特色科室、2个市级特色科室，累计建成4个省级特色科室和31个市级特色科室。铁心桥社区卫生服务中心“社区医院建设”获评《健康报》基层卫生健康优秀创新案例初评。三是中医药事业发展深入推进。推进20个社区卫生服务站“中医阁”建设。加强雨花医院“中华名医馆”、“中医养生堂”内涵，运营好“全国名老中医盛灿若工作室基层工作站”，陈宗金传承工作室、肖少卿传承工作室等名中医工作室。建成4个市级名中医工作室基层工作站。四是人才队伍建设持续加强。开展卫健系统“红五月”技能竞赛“冬季大练兵”活动。建成雨花台区卫生健康培训中心，开展区级培训41次，累计培训2129人次。选派59名卫技人员到“三甲”医院学习（其中进修41人、全科规培18人），选派40人参加了市、区组织的西学中的培训，派出4名中医类医师到省、市中医院进修学习。常态化开展“三基”培训与考核，不断提升我区卫技人员专业技术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公共卫生服务内涵进一步提升。完善公共卫生体系。完善功能设计，推进区公共卫生服务中心建设；推进雨花医院公共卫生科建设；在全区64个社区成立公共卫生委员会，完善基层公共卫生管理体系。做好重大疾病综合防控。全年无甲类传染病发生，共报告乙类传染病10种，总发病数为367例，发病率为78.03/10万，死亡1例，为艾滋病病例，处置预警信息94条，及时率100%。推进第四轮艾滋病综合防治示范区建设工作，做好结核病患者检测筛查、服务管理及治疗工作。规范预防接种和疫苗管理。全区共接种免疫规划疫苗104403剂次，非免疫规划疫苗接种91853剂次。监测、报告疑似预防接种异常反应149例，48小时内报告率、调查率达100％。强化预防处置门诊督导，覆盖率100%。加强慢性病防治工作。2020年我区人均期望寿命为83.61岁，完成心脑血管监测、糖尿病筛查、儿童口腔疾病综合干预等项目阶段性任务。岱山社区卫生服务中心获得2021年优秀基层糖尿病并发症筛查工作站二等奖。着力提升精神卫生服务水平，雨花医院建成区精神卫生中心，目前全区严重精神障碍患者检出率3.69‰，管理率99.42%。加强基本公共卫生服务项目管理。3月我区代表江苏省迎接国家基本公共卫生服务项目绩效评价，获得全国第2。在2020年南京市基本公共卫生服务项目绩效评价中考评成绩“优秀”。按照人均100元标准落实全区基本公共卫生服务项目经费，进一步完善基本公共卫生服务绩效考核方案。持续推进爱国卫生运动。开展爱卫月系列活动，倡导文明健康生活方式，助力新冠肺炎疫情防控。有效开展“四害”防制工作，推进板桥、古雄街道市级病媒生物防制全覆盖试点工作。强化卫生防病和健康知识科普，开展居民健康素养水平监测工作。铁心桥社区卫生服务中心建成省级健康促进医院。持续推进24个市级“健康细胞”项目建设；完成第五届“健康家庭”“健康市民”评选活动。举办“2021年雨花台区健康科普讲师演讲技能竞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重点人群健康服务扎实开展。提升老年人健康服务。雨花街道花神庙社区成为“2021年全国示范性老年友好型社区”。岱山社区卫生服务中心被评为省级老年友善医疗机构优秀单位，雨花医院以及铁心桥、板桥、雨花、西善桥、赛虹桥5个社区卫生服务中心和我区6个护理院被评为省级老年友善医疗机构。完成年度老年人运用智能技术困难专项普及培训2055人次。为4093名符合条件困难老人购买意外伤害保险。开展2021年度敬老月活动等一系列敬老爱老活动。完善0-3岁婴幼儿照护服务体系。完成4家社会办托育机构备案，通过国家普惠托育1家（改扩建），省级普惠托育1家，共计增加普惠托位81个；申报省级示范托育机构1家。我区可提供托位数达1483个，千人托位数达2.44。出台了《雨花台区促进3岁以下婴幼儿照护服务发展实施方案》《雨花台区0-3岁婴幼儿照护服务设施建设实施方案》。做好妇幼健康服务。区妇保所绩效考核在全省城区妇幼保健机构；中位列第一。引入省妇幼保健院优质资源，加强孕产妇高危管理、“两癌”筛查、儿童高危管理等服务合作。扩大“两癌”筛查项目覆盖面，全年完成“两癌”筛查17075人。完成铁心桥街道为民服务中心、板桥街道新建社区2所市级标准化母婴室建设。3家医疗卫生机构的母婴室获得南京市2021年度公共场所母婴设施优质运营管理单位。促进人口和家庭均衡发展。依法稳妥实施三孩政策。区计生协会在2020年家庭健康保险工作测评中获得省级三等奖、市级一等奖。开展计生特扶家庭关怀活动，为759名计划生育特扶人员住院护理险续保。全面落实计生特扶家庭“三个全覆盖”，深入开展计生特殊家庭心理健康服务。持续开展“新家庭计划-家庭发展能力建设”项目，积极促进幸福家庭建设。加强职业健康保障。推进粉尘危害专项整治三年行动，完成省、市级自评工作。开展第19个《职业病防治法》宣传周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卫生信息化建设不断加强。完成江苏省基层卫生信息化提档升级试点工作中期验收。创新开发重点人群核酸检测“应检尽检”系统、预检分诊系统以及隔离酒店管理系统。提升雨花医院信息化水平，上线新版HIS系统。完善区域健康信息平台，提升数据互联互通水平。建设电子票据管理系统，优化票据管理服务。建设合理用药及审方系统，提升药学服务效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医药卫生体制改革不断深化。分级诊疗制度进一步实施。以省妇幼总院项目建设为契机，推进与江苏省妇幼保健院医联体建设。区妇保所与省妇幼保健院签订医联体合作协议，雨花、岱山社区卫生服务中心与省人民医院试点开展心血管筛查服务项目。全年我区医联体专家下基层坐诊5539人次，专家诊疗服务53808人次，医联体内门诊上转病人5962人次、下转病人2724人次，上转住院病人336人次，下转住院病人351人次。深入推进雨花医院与市第一医院紧密型医联体建设，医生医疗服务同质化水平。加强以雨花医院为核心的区域医联体建设，充分发挥雨花医院核心纽带作用，与6家社区卫生服务中心协作成立基层医疗培训基地，启动7个临床科室进修计划，雨花医院下基层义诊11次，累计接收社区转诊病人82例。加快推进现代医院管理制度。进一步完善内部管理制度，优化医院管理体制和运行机制，推进雨花医院公立医院改革试点及二甲医院创建工作。做实做细家庭医生签约服务。拟定《雨花台区家庭医生签约服务绩效考核工作方案》，调动家庭医生团队积极性，提升服务质量。为75名市级、30名省级离休干部提供签约服务。成功申报家庭医生服务模式创新建设试点，通过优化首诊签约服务流程，打造“一站式签约服务管理中心”，提升慢性病患者健康管理与签约服务。赛虹桥社区卫生服务中心被评为江苏省2021年度家庭医生签约服务创新单位。善水湾家庭医生工作室建成江苏省2021年度星级家庭医生工作室。雨花社区卫生服务中心被评为南京市离休干部家庭医生签约服务优秀单位。药品供应得到进一步保障。成立全省区县首家区域审方中心，不合理处方明显减少，药师的审方能力明显提升。率先在全省基层医疗机构开设4个药物治疗管理门诊，对慢性病患者、特殊人群及使用多种药物的患者提供药学服务。加强药联体内药学服务体系建设，药联体列入市《生命健康科技创新行动计划》，“药联体内慢性病管理药学服务改革”获选2021年度中国现代医院管理典型案例，联合鼓楼医院开展国家家庭药师规范化专项培训基地申报。提升药学人员服务能力，培养2名临床药师，组织22名药师参加药科大社区药房药物治疗管理（MTM）和60名医技人员参加国家基本药物临床应用专项指南培训学习。进一步巩固国家基本药物制度，雨花医院2020年合理用药考核得分在区属二三级医疗机构中排名第一，板桥社区卫生服务中心在部分基层医疗机构中排名第二。不断强化药品（耗材）采购、配送和使用监管。全力保障药品供应，为2308名患者代购药品110.2万元，做好短缺药品动态监测。着力提升合理用药水平，完成抗微生物药物培训考核230人，开展精麻药品使用专项检查4次。完成2021年度区药品（耗材）与药事管理数据统计上报工作。医疗卫生行业综合监管进一步加强。全面推进医疗服务多元化监管试点工作，落实医疗机构依法执业主体责任。顺利完成省医疗卫生行业综合监管督查组对南京市并延伸至我区医疗卫生行业综合监管工作开展现场实地督察。加强南京市医疗机构依法执业管理自查系统的推广使用。加强基层卫生监督体系建设，进一步理顺街道卫健办工作职责，强化街道卫健办机构标准化建设和规范化管理。推进卫生健康在线监督监测一期、二期的项目使用，全区二级民营医疗机构医疗废物在线追溯系统实现全覆盖。完成了2021年国家、省级116家单位和市级职业健康90家企业及区级8家单位的“双随机”抽查工作任务。深入推进行政执法公示、执法全过程记录、重大执法决定法制审核等“三项制度”，积极开展行政执法全过程记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推动全面从严治党向纵深发展。扎实开展党史学习教育。认真谋划，出台《全区卫健系统党史学习教育实施方案》，召开动员部署会并组建领导小组。深入学习习近平总书记在党史学习教育动员部署大会上的讲话精神等一系列重要论述，开展领导干部讲党课12次、集中学习6次、实地观摩8次、宣讲报告会2场、读书交流会和知识竞赛等丰富活动18次。“学习强国”APP等多个平台录用宣传信息21篇次。深入推进“我为群众办实事”项目（市级2项、区级10项）、“两在两同”建新功行动和委党委书记项目《强化党建引领，打造高质量发展红色先锋》。加强和改进意识形态工作。深入推进文明典范城市创建。将意识形态工作列入年度工作要点，深入学习贯彻习近平总书记关于意识形态领域工作重要讲话精神。强化党支部书记第一责任人意识，牢牢掌握意识形态工作的领导权、主动权。召开卫健系统庆祝建党100周年表彰大会，制作《致敬可爱的你》专题片。推选市级优秀党务工作者1名、区级优秀党员2名、优秀党务工作者1名、先进基层党组织2个。开展“中国医师节”系列活动，在“健康雨花”微信公众号推送等先进典型宣传12篇。加强12345工单、网络平台等舆情监测，及时防范化解舆情风险。扎实开展党风廉政和行风作风建设。加强廉政学习警示教育，开展专题培训及测试29次。强化日常监督，委党委开展任前提醒谈话15人次，日常教育谈话132余人次。加强医德医风建设，常态化开展“拒收红包、远离回扣、廉洁从医”主题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坚持做好安全稳定工作。强化安全生产责任。严格落实各级安全生产责任制，制定下发卫健系统安全生产工作要点、职责和任务清单、安全生产专项整治三年行动实施方案等一系列文件。提高思想认识，开展“百团进百万企业”安全生产宣讲活动。加大节日期间监督检查巡查力度，开展安全生产专项检查6次。每月开展消防、危险化学品等安全整治工作排查，消防安全检查单位460家次，累计排查一般隐患159处，均已整改到位；危险化学品检查单位206家次，累计排查一般隐患65处，均已整改到位。扎实开展平安医院创建。加强国家《医疗纠纷预防与处理条例》《江苏省医疗纠纷预防与处理条例》培训，引导患者走法律途径解决医患纠纷。对各类伤害医务人员人身安全、扰乱医疗秩序等违法犯罪行为“零容忍”，依法严厉查处打击医闹和伤医等事件。完善安全保卫措施，提高医疗机构安全防范水平，督促医疗机构强化人防、物防、技防建设要求；加强医警联动，提高涉医突发事件应急处置能力。开展扫黑除恶专项斗争。重点围绕信访投诉、医疗纠纷、欺诈骗保、非法行医、非法集资、威胁医务人员、非法干预医疗卫生机构正常决策、正常业务开展、基建项目、药品设备招标采购等内容，开展线索排查。组织医疗机构开展反通讯网络诈骗宣传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南京市雨花台区卫生健康委员会</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南京市雨花台区卫生健康委员会</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30,493.27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6.34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21.16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33,499.53</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958.59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1,048.23</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59,471.57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504.04</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161.62</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64,972.56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61,228.83</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3,480.06</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5,571.90</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5,835.54</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70,544.45</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70,544.45</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64,972.56</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30,514.43</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33,499.53</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958.59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组织事务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市场监督管理事务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2013816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食品安全监管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学前教育</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1,048.23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1,048.23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事业单位离退休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退役安置</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2080902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军队移交政府的离退休人员安置</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63,215.30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28,982.56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33,274.13</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958.59</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卫生健康管理事务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838.97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838.97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759.06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759.06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公立医院</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10,045.33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7,393.20</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532.12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综合医院</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9,925.33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7,393.20</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532.12</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其他公立医院支出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基层医疗卫生机构</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34,119.79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7,812.39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25,880.93</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426.47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城市社区卫生机构</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32,899.40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6,592.00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25,880.93</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426.47</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其他基层医疗卫生机构支出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1,220.39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14,120.82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14,120.82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3,538.74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3,538.74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突发公共卫生事件应急处理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10,508.71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10,508.71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中医药</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其他中医药支出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计划生育事务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2100717</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计划生育服务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医疗救助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城乡医疗救助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3,067.99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3,067.99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3,067.99</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3,067.99</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援助其他地区支出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2199900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504.04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314.07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225.41</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161.62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用于社会福利的彩票公益金支出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61,228.83</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38,746.75</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22,482.09</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组织事务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市场监督管理事务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2013816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食品安全监管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学前教育</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1,048.23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148.23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148.23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148.23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147.82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147.82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事业单位离退休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0.41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0.41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退役安置</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军队移交政府的离退休人员安置</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900.00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59,471.57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38,094.49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21,377.08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卫生健康管理事务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838.97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759.06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759.06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759.06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79.91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公立医院</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9,983.65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9,142.49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841.16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综合医院</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9,863.65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9,142.49</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721.16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其他公立医院支出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基层医疗卫生机构</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29,301.99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28,181.94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1,120.05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城市社区卫生机构</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28,074.10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28,073.74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0.36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其他基层医疗卫生机构支出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1,227.89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108.20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1,119.69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14,646.88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14,646.88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3,523.74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3,523.74</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88.38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突发公共卫生事件应急处理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10,946.60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10,946.60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88.17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88.17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中医药</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其他中医药支出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计划生育事务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2100717</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计划生育服务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32.39</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32.39</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1,205.51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1,205.51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1,205.51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医疗救助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城乡医疗救助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3,272.18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3,261.18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3,272.18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3,261.18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援助其他地区支出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2199900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504.04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504.04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314.07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314.07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39.90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161.62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161.62</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用于社会福利的彩票公益金支出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140.46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140.46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140.46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140.46</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南京市雨花台区卫生健康委员会</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30,493.27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1,048.23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30,136.09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30,136.09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140.46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30,514.43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31,667.96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31,646.80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1,153.53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1,153.53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31,667.96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31,667.96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31,646.80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31,667.96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9,185.87</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22,482.09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组织事务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市场监督管理事务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食品安全监管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军队移交政府的离退休人员安置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30,136.09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8,759.01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21,377.08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卫生健康管理事务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759.06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公立医院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2,129.91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841.16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综合医院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2,009.91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1,288.75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其他公立医院支出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基层医疗卫生机构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7,820.25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1,120.05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城市社区卫生机构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6,592.36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6,592.00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其他基层医疗卫生机构支出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1,227.89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108.20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1,119.69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14,646.88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14,646.88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3,523.74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3,523.74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88.38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突发公共卫生事件应急处理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10,946.60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10,946.60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中医药</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其他中医药支出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2100717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计划生育服务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1,205.51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1,205.51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医疗救助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城乡医疗救助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3,272.18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3,261.18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3,272.18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3,261.18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2199900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161.62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140.46</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南京市雨花台区卫生健康委员会</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9,185.86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9,118.81</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8,653.69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31,646.80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9,185.86</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22,460.93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组织事务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市场监督管理事务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2013816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食品安全监管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147.82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军队移交政府的离退休人员安置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30,136.09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8,759.01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21,377.08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卫生健康管理事务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838.97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79.91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公立医院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2,129.91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1,288.75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841.16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综合医院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2,009.91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1,288.75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其他公立医院支出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基层医疗卫生机构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7,820.25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6,700.20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1,120.05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城市社区卫生机构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6,592.36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6,592.00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其他基层医疗卫生机构支出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1,227.89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108.20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1,119.69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14,646.88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14,646.88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3,523.74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3,523.74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突发公共卫生事件应急处理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10,946.60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10,946.60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中医药</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其他中医药支出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2100717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计划生育服务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1,205.51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1,205.51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城乡医疗救助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3,272.18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3,261.18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3,272.18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3,261.18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援助其他地区支出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2199900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140.46</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9,185.86</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9,118.81</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8,653.69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8,653.69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2,062.26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3,572.43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306.01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937.18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597.49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8.56</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6.76</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6.76</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1.80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3.57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138.79</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8.49</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6.76</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6.76</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1.73</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0.84</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67.47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190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2819</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21.16</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21.16</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21.16</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21.16</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21.16</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21.16</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21.16</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21.16</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67.05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0.70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12.54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33.34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南京市雨花台区卫生健康委员会</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9,972.07</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6,512.03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3,460.04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2021年度收入、支出决算总计70,544.45万元。与上年相比，收、支总计各增加9,291.61万元，增长15.17%。其中：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（一）收入决算总计70,544.45万元。包括：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1.本年收入决算合计64,972.56万元。与上年相比，增加7,231.84万元，增长12.52%，变动原因：本年新冠疫情防控项目经费收入增加5228万元及基层医疗机构业务收入的增长。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3.年初结转和结余5,571.9万元。与上年相比，增加2,059.78万元，增长58.65%，变动原因：上年结转到本年使用的基本结余和项目结转资金。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（二）支出决算总计70,544.45万元。包括：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1.本年支出决算合计61,228.83万元。与上年相比，增加8,266.36万元，增长15.61%，变动原因：本年新冠疫情防控项目经费支出增加6054万元及基层医疗机构业务支出的增长。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3,480.06万元。结余分配事项：是基层医疗单位对非财政补助结余按规定计算提取的职工福利基金等。与上年相比，增加761.74万元，增长28.02%，变动原因：本年业务收入逐渐较上年有所上升，导致非财政补助结余较上年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5,835.54万元。结转和结余事项：基层医疗单位结余到下年的基本支出结余。与上年相比，增加263.5万元，增长4.73%，变动原因：本年业务收入逐渐较上年有所上升，导致年末结转和结余较上年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64,972.56万元，其中：财政拨款收入30,514.43万元，占46.96%；上级补助收入0万元，占0%；财政专户管理教育收费0万元，占0%；事业收入（不含专户管理教育收费）33,499.53万元，占51.56%；经营收入0万元，占0%；附属单位上缴收入0万元，占0%；其他收入958.59万元，占1.48%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2021年度本年支出决算合计61,228.83万元，其中：基本支出38,746.75万元，占63.28%；项目支出22,482.09万元，占36.72%；上缴上级支出0万元，占0%；经营支出0万元，占0%；对附属单位补助支出0万元，占0%。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31,667.96万元。与上年相比，收、支总计各增加3,260.36万元，增长11.48%，变动原因：本年新冠疫情防控项目经费增加及其他项目经费的减少，导致本年财政拨款收入、支出各增加3260.36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2021年度财政拨款支出决算31,667.96万元，占本年支出合计的51.72%。与2021年度财政拨款支出年初预算14,230.45万元相比，完成年初预算的222.54%。其中：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1.组织事务（款）一般行政管理事务（项）。年初预算0万元，支出决算4.1万元，（年初预算数为0万元，无法计算完成比率）。决算数与年初预算数的差异原因：上级下拨的中青年人才津补贴。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2.市场监督管理事务（款）食品安全监管（项）。年初预算0万元，支出决算2.24万元，（年初预算数为0万元，无法计算完成比率）。决算数与年初预算数的差异原因：上级补助的食品安全检测经费。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普通教育（款）学前教育（项）。年初预算0万元，支出决算17.04万元，（年初预算数为0万元，无法计算完成比率）。决算数与年初预算数的差异原因：上级补助的妇幼项目经费。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1.行政事业单位养老支出（款）行政单位离退休（项）。年初预算105.73万元，支出决算147.82万元，完成年初预算的139.81%。决算数与年初预算数的差异原因：按相关政策要求增加退休人员补贴。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2.行政事业单位养老支出（款）事业单位离退休（项）。年初预算0万元，支出决算0.41万元，（年初预算数为0万元，无法计算完成比率）。决算数与年初预算数的差异原因：下拨给基层医疗单位离休人员补助。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3.退役安置（款）军队移交政府的离退休人员安置（项）。年初预算0万元，支出决算900万元，（年初预算数为0万元，无法计算完成比率）。决算数与年初预算数的差异原因：增加了对离退休人员医疗费补助。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1.卫生健康管理事务（款）行政运行（项）。年初预算543.23万元，支出决算759.06万元，完成年初预算的139.73%。决算数与年初预算数的差异原因：本年新增了人员及工资奖金调增。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2.卫生健康管理事务（款）一般行政管理事务（项）。年初预算80万元，支出决算79.91万元，完成年初预算的99.89%。决算数与年初预算数的差异原因：卫生管理事务工作费用已支付完毕，结余少量经费。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3.公立医院（款）综合医院（项）。年初预算2,000万元，支出决算2,009.91万元，完成年初预算的100.5%。决算数与年初预算数的差异原因：上年结转到本年经费9.91万元。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4.公立医院（款）其他公立医院支出（项）。年初预算0万元，支出决算120万元，（年初预算数为0万元，无法计算完成比率）。决算数与年初预算数的差异原因：中央下拨公立医院补助经费。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5.基层医疗卫生机构（款）城市社区卫生机构（项）。年初预算6,592万元，支出决算6,592.36万元，完成年初预算的100.01%。决算数与年初预算数的差异原因：上年结转0.36万元到本年支出。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6.基层医疗卫生机构（款）其他基层医疗卫生机构支出（项）。年初预算285.5万元，支出决算1,227.89万元，完成年初预算的430.08%。决算数与年初预算数的差异原因：省市对基层医疗机构的补助支出。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7.公共卫生（款）基本公共卫生服务（项）。年初预算1,575.5万元，支出决算3,523.74万元，完成年初预算的223.66%。决算数与年初预算数的差异原因：省市对基层医疗机构的补助支出。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8.公共卫生（款）重大公共卫生服务（项）。年初预算0万元，支出决算88.38万元，（年初预算数为0万元，无法计算完成比率）。决算数与年初预算数的差异原因：市追加的爱国卫生项目经费。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9.公共卫生（款）突发公共卫生事件应急处理（项）。年初预算0万元，支出决算10,946.6万元，（年初预算数为0万元，无法计算完成比率）。决算数与年初预算数的差异原因：全区疫情防控经费在此款项中列支。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10.公共卫生（款）其他公共卫生支出（项）。年初预算0万元，支出决算88.17万元，（年初预算数为0万元，无法计算完成比率）。决算数与年初预算数的差异原因：上年结转项目经费在本年支出。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11.中医药（款）其他中医药支出（项）。年初预算80万元，支出决算80万元，完成年初预算的100%。决算数与年初预算数相同。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12.计划生育事务（款）计划生育服务（项）。年初预算32.39万元，支出决算32.39万元，完成年初预算的100%。决算数与年初预算数相同。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13.行政事业单位医疗（款）行政单位医疗（项）。年初预算0万元，支出决算1,205.51万元，（年初预算数为0万元，无法计算完成比率）。决算数与年初预算数的差异原因：行政事业单位职工的医疗费。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14.医疗救助（款）城乡医疗救助（项）。年初预算110万元，支出决算110万元，完成年初预算的100%。决算数与年初预算数相同。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其他卫生健康支出（款）其他卫生健康支出（项）。年初预算2,475万元，支出决算3,272.18万元，完成年初预算的132.21%。决算数与年初预算数的差异原因：上级财政直接转移支付的资金和需要申请追加的区级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（五）援助其他地区支出（类）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其他支出（款）其他支出（项）。年初预算0万元，支出决算20万元，（年初预算数为0万元，无法计算完成比率）。决算数与年初预算数的差异原因：援助对口支援地区。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1.住房改革支出（款）住房公积金（项）。年初预算88.17万元，支出决算88.66万元，完成年初预算的100.56%。决算数与年初预算数的差异原因：按相关政策调整职工个人缴纳数。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2.住房改革支出（款）提租补贴（项）。年初预算150.08万元，支出决算150.08万元，完成年初预算的100%。决算数与年初预算数相同。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3.住房改革支出（款）购房补贴（项）。年初预算32.85万元，支出决算39.9万元，完成年初预算的121.46%。决算数与年初预算数的差异原因：按相关政策调整职工个人购房补贴。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彩票公益金安排的支出（款）用于社会福利的彩票公益金支出（项）。年初预算0万元，支出决算21.16万元，（年初预算数为0万元，无法计算完成比率）。决算数与年初预算数的差异原因：老年人优待经费21.16万元由彩票公益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2.其他支出（款）其他支出（项）。年初预算80万元，支出决算140.46万元，完成年初预算的175.58%。决算数与年初预算数的差异原因：相关部门支付的征兵体检款项。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2021年度财政拨款基本支出决算9,185.86万元，其中：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（一）人员经费9,118.81万元。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其他工资福利支出、离休费、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（二）公用经费67.05万元。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主要包括：办公费、印刷费、邮电费、培训费、公务接待费、劳务费、委托业务费、工会经费、其他交通费用、其他商品和服务支出。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31,646.8万元。与上年相比，增加8,634.48万元，增长37.52%，变动原因：本年一般公共预算财政拨款支出中增加疫情防控经费10283万元（上年疫情防控经费4229万元在政府性基金财政拨款支出中反映，因此疫情防控经费总增加为6054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2021年度一般公共预算财政拨款基本支出决算9,185.86万元，其中：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（一）人员经费9,118.81万元。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其他工资福利支出、离休费、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（二）公用经费67.05万元。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主要包括：办公费、印刷费、邮电费、培训费、公务接待费、劳务费、委托业务费、工会经费、其他交通费用、其他商品和服务支出。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8.49万元。与上年相比，减少0.3万元，变动原因：严格执行八项规定，减少开支。其中，因公出国（境）费支出0万元，占“三公”经费的0%；公务用车购置及运行维护费支出6.76万元，占“三公”经费的79.62%；公务接待费支出1.73万元，占“三公”经费的20.38%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2．公务用车购置及运行维护费支出预算6.76万元，支出决算6.76万元，完成预算的100%，决算数与预算数相同。其中：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6.76万元。公务用车运行维护费主要用于按规定保留的公务用车的燃料费、维修费、过桥过路费、保险费、安全奖励费用等支出。截至2021年12月31日，使用一般公共预算财政拨款开支的公务用车保有量为7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1.8万元，支出决算1.73万元，完成预算的96.11%，决算数与预算数的差异原因：严格执行八项规定，减少开支。其中：国内公务接待支出1.73万元，接待12批次，190人次，开支内容：国家、省、市对相关专业工作情况开展检查、调研及考核餐费；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3.57万元，支出决算0.84万元，完成预算的23.53%，决算数与预算数的差异原因：因疫情原因，会议较少，导致实际支出数较预算少。2021年度全年召开会议2个，参加会议100人次，开支内容：召开相关业务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138.79万元，支出决算67.47万元，完成预算的48.61%，决算数与预算数的差异原因：因疫情原因，培训较少，导致实际支出数较预算少。2021年度全年组织培训155个，组织培训2819人次，开支内容：对口支援地区来我区培训人员费用和各基层医疗单位各相关科室参加各类培训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21.16万元。与上年相比，减少4,220.45万元，减少99.5%，变动原因：上年政府性基金预算财政拨款支出中有疫情防控经费3345万元和老年人优待经费12.26万元。本年21.16万元为老年人优待经费，比上年增加部分为上级增加对老年人活动经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2021年度机关运行经费支出决算67.05万元。与上年相比，减少8.98万元，减少11.81%，变动原因：压缩不必要的办公经费。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9,972.07万元，其中：政府采购货物支出6,512.03万元、政府采购工程支出0万元、政府采购服务支出3,460.04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7辆，其中：副部(省)级及以上领导用车0辆、主要领导干部用车0辆、机要通信用车0辆、应急保障用车0辆、执法执勤用车0辆、特种专业技术用车0辆、离退休干部用车0辆、其他用车7辆；单价50万元（含）以上的通用设备28台（套），单价100万元（含）以上的专用设备15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2021年度，本单位共23个项目开展了财政重点绩效评价，涉及财政性资金合计14,816.69万元；本单位开展单位整体支出财政重点绩效评价，涉及财政性资金16,026.84万元。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本单位共对上年度已实施完成的25个项目开展了绩效自评价，涉及财政性资金合计19,194.01万元；本单位共开展1项单位整体支出绩效自评价，涉及财政性资金合计33,170.01万元。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十九、一般公共服务支出(类)组织事务(款)一般行政管理事务(项)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二十、一般公共服务支出(类)市场监督管理事务(款)食品安全监管(项)</w:t>
      </w:r>
      <w:r>
        <w:rPr>
          <w:rFonts w:ascii="仿宋" w:hAnsi="仿宋" w:cs="仿宋" w:eastAsia="仿宋"/>
          <w:b w:val="true"/>
        </w:rPr>
        <w:t>：</w:t>
      </w:r>
      <w:r>
        <w:rPr>
          <w:rFonts w:hint="eastAsia" w:ascii="仿宋" w:hAnsi="仿宋" w:eastAsia="仿宋" w:cs="仿宋"/>
        </w:rPr>
        <w:t>反映食品安全监管等专项工作支出。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二十一、教育支出(类)普通教育(款)学前教育(项)</w:t>
      </w:r>
      <w:r>
        <w:rPr>
          <w:rFonts w:ascii="仿宋" w:hAnsi="仿宋" w:cs="仿宋" w:eastAsia="仿宋"/>
          <w:b w:val="true"/>
        </w:rPr>
        <w:t>：</w:t>
      </w:r>
      <w:r>
        <w:rPr>
          <w:rFonts w:hint="eastAsia" w:ascii="仿宋" w:hAnsi="仿宋" w:eastAsia="仿宋" w:cs="仿宋"/>
        </w:rPr>
        <w:t>反映各部门举办的学前教育支出。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二十二、社会保障和就业支出(类)行政事业单位养老支出(款)行政单位离退休(项)</w:t>
      </w:r>
      <w:r>
        <w:rPr>
          <w:rFonts w:ascii="仿宋" w:hAnsi="仿宋" w:cs="仿宋" w:eastAsia="仿宋"/>
          <w:b w:val="true"/>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二十三、社会保障和就业支出(类)行政事业单位养老支出(款)事业单位离退休(项)</w:t>
      </w:r>
      <w:r>
        <w:rPr>
          <w:rFonts w:ascii="仿宋" w:hAnsi="仿宋" w:cs="仿宋" w:eastAsia="仿宋"/>
          <w:b w:val="true"/>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二十四、社会保障和就业支出(类)退役安置(款)军队移交政府的离退休人员安置(项)</w:t>
      </w:r>
      <w:r>
        <w:rPr>
          <w:rFonts w:ascii="仿宋" w:hAnsi="仿宋" w:cs="仿宋" w:eastAsia="仿宋"/>
          <w:b w:val="true"/>
        </w:rPr>
        <w:t>：</w:t>
      </w:r>
      <w:r>
        <w:rPr>
          <w:rFonts w:hint="eastAsia" w:ascii="仿宋" w:hAnsi="仿宋" w:eastAsia="仿宋" w:cs="仿宋"/>
        </w:rPr>
        <w:t>反映移交政府的军队离退休人员安置支出。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二十五、卫生健康支出(类)卫生健康管理事务(款)行政运行(项)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二十六、卫生健康支出(类)卫生健康管理事务(款)一般行政管理事务(项)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二十七、卫生健康支出(类)公立医院(款)综合医院(项)</w:t>
      </w:r>
      <w:r>
        <w:rPr>
          <w:rFonts w:ascii="仿宋" w:hAnsi="仿宋" w:cs="仿宋" w:eastAsia="仿宋"/>
          <w:b w:val="true"/>
        </w:rPr>
        <w:t>：</w:t>
      </w:r>
      <w:r>
        <w:rPr>
          <w:rFonts w:hint="eastAsia" w:ascii="仿宋" w:hAnsi="仿宋" w:eastAsia="仿宋" w:cs="仿宋"/>
        </w:rPr>
        <w:t>反映卫生健康、中医部门所属的城市综合性医院、独立门诊、教学医院、疗养院和县医院的支出。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二十八、卫生健康支出(类)公立医院(款)其他公立医院支出(项)</w:t>
      </w:r>
      <w:r>
        <w:rPr>
          <w:rFonts w:ascii="仿宋" w:hAnsi="仿宋" w:cs="仿宋" w:eastAsia="仿宋"/>
          <w:b w:val="true"/>
        </w:rPr>
        <w:t>：</w:t>
      </w:r>
      <w:r>
        <w:rPr>
          <w:rFonts w:hint="eastAsia" w:ascii="仿宋" w:hAnsi="仿宋" w:eastAsia="仿宋" w:cs="仿宋"/>
        </w:rPr>
        <w:t>反映除上述项目以外的其他用于公立医院方面的支出。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二十九、卫生健康支出(类)基层医疗卫生机构(款)城市社区卫生机构(项)</w:t>
      </w:r>
      <w:r>
        <w:rPr>
          <w:rFonts w:ascii="仿宋" w:hAnsi="仿宋" w:cs="仿宋" w:eastAsia="仿宋"/>
          <w:b w:val="true"/>
        </w:rPr>
        <w:t>：</w:t>
      </w:r>
      <w:r>
        <w:rPr>
          <w:rFonts w:hint="eastAsia" w:ascii="仿宋" w:hAnsi="仿宋" w:eastAsia="仿宋" w:cs="仿宋"/>
        </w:rPr>
        <w:t>反映用于城市社区卫生机构的支出。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三十、卫生健康支出(类)基层医疗卫生机构(款)其他基层医疗卫生机构支出(项)</w:t>
      </w:r>
      <w:r>
        <w:rPr>
          <w:rFonts w:ascii="仿宋" w:hAnsi="仿宋" w:cs="仿宋" w:eastAsia="仿宋"/>
          <w:b w:val="true"/>
        </w:rPr>
        <w:t>：</w:t>
      </w:r>
      <w:r>
        <w:rPr>
          <w:rFonts w:hint="eastAsia" w:ascii="仿宋" w:hAnsi="仿宋" w:eastAsia="仿宋" w:cs="仿宋"/>
        </w:rPr>
        <w:t>反映除上述项目以外的其他用于基层医疗卫生机构的支出。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三十三、卫生健康支出(类)公共卫生(款)突发公共卫生事件应急处理(项)</w:t>
      </w:r>
      <w:r>
        <w:rPr>
          <w:rFonts w:ascii="仿宋" w:hAnsi="仿宋" w:cs="仿宋" w:eastAsia="仿宋"/>
          <w:b w:val="true"/>
        </w:rPr>
        <w:t>：</w:t>
      </w:r>
      <w:r>
        <w:rPr>
          <w:rFonts w:hint="eastAsia" w:ascii="仿宋" w:hAnsi="仿宋" w:eastAsia="仿宋" w:cs="仿宋"/>
        </w:rPr>
        <w:t>反映用于突发公共卫生事件应急处理的支出。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三十五、卫生健康支出(类)中医药(款)其他中医药支出(项)</w:t>
      </w:r>
      <w:r>
        <w:rPr>
          <w:rFonts w:ascii="仿宋" w:hAnsi="仿宋" w:cs="仿宋" w:eastAsia="仿宋"/>
          <w:b w:val="true"/>
        </w:rPr>
        <w:t>：</w:t>
      </w:r>
      <w:r>
        <w:rPr>
          <w:rFonts w:hint="eastAsia" w:ascii="仿宋" w:hAnsi="仿宋" w:eastAsia="仿宋" w:cs="仿宋"/>
        </w:rPr>
        <w:t>反映除中医（民族医）药专项支出以外的其他中医药支出。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三十八、卫生健康支出(类)医疗救助(款)城乡医疗救助(项)</w:t>
      </w:r>
      <w:r>
        <w:rPr>
          <w:rFonts w:ascii="仿宋" w:hAnsi="仿宋" w:cs="仿宋" w:eastAsia="仿宋"/>
          <w:b w:val="true"/>
        </w:rPr>
        <w:t>：</w:t>
      </w:r>
      <w:r>
        <w:rPr>
          <w:rFonts w:hint="eastAsia" w:ascii="仿宋" w:hAnsi="仿宋" w:eastAsia="仿宋" w:cs="仿宋"/>
        </w:rPr>
        <w:t>反映财政用于城乡困难群众医疗救助的支出。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四十、援助其他地区支出(类)其他支出(款)其他支出(项)</w:t>
      </w:r>
      <w:r>
        <w:rPr>
          <w:rFonts w:ascii="仿宋" w:hAnsi="仿宋" w:cs="仿宋" w:eastAsia="仿宋"/>
          <w:b w:val="true"/>
        </w:rPr>
        <w:t>：</w:t>
      </w:r>
      <w:r>
        <w:rPr>
          <w:rFonts w:hint="eastAsia" w:ascii="仿宋" w:hAnsi="仿宋" w:eastAsia="仿宋" w:cs="仿宋"/>
        </w:rPr>
        <w:t>反映援助其他地区资金中除上述项目以外的其他支出。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四十四、其他支出(类)彩票公益金安排的支出(款)用于社会福利的彩票公益金支出(项)</w:t>
      </w:r>
      <w:r>
        <w:rPr>
          <w:rFonts w:ascii="仿宋" w:hAnsi="仿宋" w:cs="仿宋" w:eastAsia="仿宋"/>
          <w:b w:val="true"/>
        </w:rPr>
        <w:t>：</w:t>
      </w:r>
      <w:r>
        <w:rPr>
          <w:rFonts w:hint="eastAsia" w:ascii="仿宋" w:hAnsi="仿宋" w:eastAsia="仿宋" w:cs="仿宋"/>
        </w:rPr>
        <w:t>反映用于社会福利和社会救助的彩票公益金支出。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四十五、其他支出(类)其他支出(款)其他支出(项)</w:t>
      </w:r>
      <w:r>
        <w:rPr>
          <w:rFonts w:ascii="仿宋" w:hAnsi="仿宋" w:cs="仿宋" w:eastAsia="仿宋"/>
          <w:b w:val="true"/>
        </w:rPr>
        <w:t>：</w:t>
      </w:r>
      <w:r>
        <w:rPr>
          <w:rFonts w:hint="eastAsia" w:ascii="仿宋" w:hAnsi="仿宋" w:eastAsia="仿宋" w:cs="仿宋"/>
        </w:rPr>
        <w:t>反映除上述项目以外其他不能划分到具体功能科目中的支出项目。</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南京市雨花台区卫生健康委员会</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