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500D5DC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 w:val="0"/>
        <w:snapToGrid w:val="0"/>
        <w:spacing w:line="440" w:lineRule="exact"/>
        <w:jc w:val="center"/>
        <w:textAlignment w:val="auto"/>
        <w:rPr>
          <w:rFonts w:ascii="Times New Roman" w:hAnsi="Times New Roman" w:eastAsia="楷体" w:cs="Times New Roman"/>
          <w:bCs/>
          <w:sz w:val="32"/>
          <w:szCs w:val="32"/>
        </w:rPr>
      </w:pPr>
      <w:bookmarkStart w:id="0" w:name="_GoBack"/>
      <w:r>
        <w:rPr>
          <w:rFonts w:hint="eastAsia" w:ascii="方正楷体简体" w:hAnsi="Times New Roman" w:eastAsia="方正楷体简体" w:cs="Times New Roman"/>
          <w:b/>
          <w:kern w:val="0"/>
          <w:sz w:val="44"/>
          <w:szCs w:val="44"/>
          <w:lang w:bidi="ar"/>
        </w:rPr>
        <w:t>雨花台区医疗机构校验结果公</w:t>
      </w:r>
      <w:bookmarkEnd w:id="0"/>
      <w:r>
        <w:rPr>
          <w:rFonts w:hint="eastAsia" w:ascii="方正楷体简体" w:hAnsi="Times New Roman" w:eastAsia="方正楷体简体" w:cs="Times New Roman"/>
          <w:b/>
          <w:kern w:val="0"/>
          <w:sz w:val="44"/>
          <w:szCs w:val="44"/>
          <w:lang w:bidi="ar"/>
        </w:rPr>
        <w:t>示</w:t>
      </w:r>
    </w:p>
    <w:p w14:paraId="1731837D">
      <w:pPr>
        <w:keepNext w:val="0"/>
        <w:keepLines w:val="0"/>
        <w:pageBreakBefore w:val="0"/>
        <w:kinsoku/>
        <w:wordWrap/>
        <w:overflowPunct/>
        <w:topLinePunct w:val="0"/>
        <w:autoSpaceDE/>
        <w:autoSpaceDN/>
        <w:bidi w:val="0"/>
        <w:spacing w:line="440" w:lineRule="exact"/>
        <w:jc w:val="center"/>
        <w:textAlignment w:val="auto"/>
        <w:rPr>
          <w:rFonts w:ascii="Times New Roman" w:hAnsi="Times New Roman" w:eastAsia="楷体" w:cs="Times New Roman"/>
          <w:bCs/>
          <w:sz w:val="32"/>
          <w:szCs w:val="32"/>
        </w:rPr>
      </w:pPr>
      <w:r>
        <w:rPr>
          <w:rFonts w:ascii="Times New Roman" w:hAnsi="Times New Roman" w:eastAsia="楷体" w:cs="Times New Roman"/>
          <w:bCs/>
          <w:sz w:val="32"/>
          <w:szCs w:val="32"/>
        </w:rPr>
        <w:t>（202</w:t>
      </w:r>
      <w:r>
        <w:rPr>
          <w:rFonts w:hint="eastAsia" w:ascii="Times New Roman" w:hAnsi="Times New Roman" w:eastAsia="楷体" w:cs="Times New Roman"/>
          <w:bCs/>
          <w:sz w:val="32"/>
          <w:szCs w:val="32"/>
          <w:lang w:val="en-US" w:eastAsia="zh-CN"/>
        </w:rPr>
        <w:t>6</w:t>
      </w:r>
      <w:r>
        <w:rPr>
          <w:rFonts w:ascii="Times New Roman" w:hAnsi="Times New Roman" w:eastAsia="楷体" w:cs="Times New Roman"/>
          <w:bCs/>
          <w:sz w:val="32"/>
          <w:szCs w:val="32"/>
        </w:rPr>
        <w:t>年</w:t>
      </w:r>
      <w:r>
        <w:rPr>
          <w:rFonts w:hint="eastAsia" w:ascii="Times New Roman" w:hAnsi="Times New Roman" w:eastAsia="楷体" w:cs="Times New Roman"/>
          <w:bCs/>
          <w:sz w:val="32"/>
          <w:szCs w:val="32"/>
          <w:lang w:val="en-US" w:eastAsia="zh-CN"/>
        </w:rPr>
        <w:t>4</w:t>
      </w:r>
      <w:r>
        <w:rPr>
          <w:rFonts w:ascii="Times New Roman" w:hAnsi="Times New Roman" w:eastAsia="楷体" w:cs="Times New Roman"/>
          <w:bCs/>
          <w:sz w:val="32"/>
          <w:szCs w:val="32"/>
        </w:rPr>
        <w:t>月</w:t>
      </w:r>
      <w:r>
        <w:rPr>
          <w:rFonts w:hint="eastAsia" w:ascii="Times New Roman" w:hAnsi="Times New Roman" w:eastAsia="楷体" w:cs="Times New Roman"/>
          <w:bCs/>
          <w:sz w:val="32"/>
          <w:szCs w:val="32"/>
          <w:lang w:val="en-US" w:eastAsia="zh-CN"/>
        </w:rPr>
        <w:t>21</w:t>
      </w:r>
      <w:r>
        <w:rPr>
          <w:rFonts w:ascii="Times New Roman" w:hAnsi="Times New Roman" w:eastAsia="楷体" w:cs="Times New Roman"/>
          <w:bCs/>
          <w:sz w:val="32"/>
          <w:szCs w:val="32"/>
        </w:rPr>
        <w:t>日）</w:t>
      </w:r>
    </w:p>
    <w:tbl>
      <w:tblPr>
        <w:tblStyle w:val="2"/>
        <w:tblW w:w="4989" w:type="pct"/>
        <w:jc w:val="center"/>
        <w:tblBorders>
          <w:top w:val="single" w:color="auto" w:sz="8" w:space="0"/>
          <w:left w:val="single" w:color="auto" w:sz="8" w:space="0"/>
          <w:bottom w:val="single" w:color="auto" w:sz="8" w:space="0"/>
          <w:right w:val="single" w:color="auto" w:sz="8" w:space="0"/>
          <w:insideH w:val="single" w:color="auto" w:sz="8" w:space="0"/>
          <w:insideV w:val="single" w:color="auto" w:sz="8" w:space="0"/>
        </w:tblBorders>
        <w:tblLayout w:type="autofit"/>
        <w:tblCellMar>
          <w:top w:w="15" w:type="dxa"/>
          <w:left w:w="15" w:type="dxa"/>
          <w:bottom w:w="15" w:type="dxa"/>
          <w:right w:w="15" w:type="dxa"/>
        </w:tblCellMar>
      </w:tblPr>
      <w:tblGrid>
        <w:gridCol w:w="588"/>
        <w:gridCol w:w="4133"/>
        <w:gridCol w:w="5260"/>
        <w:gridCol w:w="3063"/>
        <w:gridCol w:w="1370"/>
      </w:tblGrid>
      <w:tr w14:paraId="0FB513F1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480" w:hRule="atLeast"/>
          <w:jc w:val="center"/>
        </w:trPr>
        <w:tc>
          <w:tcPr>
            <w:tcW w:w="20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55C27C7">
            <w:pPr>
              <w:widowControl/>
              <w:adjustRightInd w:val="0"/>
              <w:snapToGrid w:val="0"/>
              <w:jc w:val="center"/>
              <w:rPr>
                <w:rFonts w:ascii="Times New Roman" w:hAnsi="Times New Roman" w:eastAsia="方正仿宋_GBK" w:cs="Times New Roman"/>
                <w:sz w:val="28"/>
                <w:szCs w:val="28"/>
              </w:rPr>
            </w:pPr>
            <w:r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  <w:t>序号</w:t>
            </w:r>
          </w:p>
        </w:tc>
        <w:tc>
          <w:tcPr>
            <w:tcW w:w="1433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143009">
            <w:pPr>
              <w:widowControl/>
              <w:adjustRightInd w:val="0"/>
              <w:snapToGrid w:val="0"/>
              <w:jc w:val="center"/>
              <w:rPr>
                <w:rFonts w:ascii="Times New Roman" w:hAnsi="Times New Roman" w:eastAsia="方正仿宋_GBK" w:cs="Times New Roman"/>
                <w:sz w:val="28"/>
                <w:szCs w:val="28"/>
              </w:rPr>
            </w:pPr>
            <w:r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  <w:t>医疗机构名称</w:t>
            </w:r>
          </w:p>
        </w:tc>
        <w:tc>
          <w:tcPr>
            <w:tcW w:w="182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7EAACBB">
            <w:pPr>
              <w:widowControl/>
              <w:adjustRightInd w:val="0"/>
              <w:snapToGrid w:val="0"/>
              <w:jc w:val="center"/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</w:pPr>
            <w:r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  <w:t>地  址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4C50ED9">
            <w:pPr>
              <w:widowControl/>
              <w:adjustRightInd w:val="0"/>
              <w:snapToGrid w:val="0"/>
              <w:jc w:val="center"/>
              <w:rPr>
                <w:rFonts w:ascii="Times New Roman" w:hAnsi="Times New Roman" w:eastAsia="方正仿宋_GBK" w:cs="Times New Roman"/>
                <w:sz w:val="28"/>
                <w:szCs w:val="28"/>
              </w:rPr>
            </w:pPr>
            <w:r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  <w:t>公示类别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7B7515A">
            <w:pPr>
              <w:widowControl/>
              <w:adjustRightInd w:val="0"/>
              <w:snapToGrid w:val="0"/>
              <w:jc w:val="center"/>
              <w:rPr>
                <w:rFonts w:ascii="Times New Roman" w:hAnsi="Times New Roman" w:eastAsia="方正仿宋_GBK" w:cs="Times New Roman"/>
                <w:sz w:val="28"/>
                <w:szCs w:val="28"/>
              </w:rPr>
            </w:pPr>
            <w:r>
              <w:rPr>
                <w:rFonts w:ascii="Times New Roman" w:hAnsi="Times New Roman" w:eastAsia="方正仿宋_GBK" w:cs="Times New Roman"/>
                <w:b/>
                <w:bCs/>
                <w:kern w:val="0"/>
                <w:sz w:val="28"/>
                <w:szCs w:val="28"/>
                <w:lang w:bidi="ar"/>
              </w:rPr>
              <w:t>校验结果</w:t>
            </w:r>
          </w:p>
        </w:tc>
      </w:tr>
      <w:tr w14:paraId="2E52B71C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20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93F6742">
            <w:pPr>
              <w:widowControl/>
              <w:adjustRightInd w:val="0"/>
              <w:snapToGrid w:val="0"/>
              <w:jc w:val="center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1</w:t>
            </w:r>
          </w:p>
        </w:tc>
        <w:tc>
          <w:tcPr>
            <w:tcW w:w="4133" w:type="dxa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89BEAA6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南京市雨花台区雨花经济开发区社区卫生服务中心</w:t>
            </w:r>
          </w:p>
        </w:tc>
        <w:tc>
          <w:tcPr>
            <w:tcW w:w="5260" w:type="dxa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ED4250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南京市雨花台区龙飞路16号、雨花台区凤汇大道19号锦华新城01幢、雨花台区龙飞路8号金叶花园会所二楼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1BD28E3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2025-2026年度医疗机构、放射诊疗校验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ED04E43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0ACC6E43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20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2E89EF1">
            <w:pPr>
              <w:widowControl/>
              <w:adjustRightInd w:val="0"/>
              <w:snapToGrid w:val="0"/>
              <w:jc w:val="center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</w:t>
            </w:r>
          </w:p>
        </w:tc>
        <w:tc>
          <w:tcPr>
            <w:tcW w:w="4133" w:type="dxa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24E17F8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南京市雨花台区西善桥社区卫生服务中心</w:t>
            </w:r>
          </w:p>
        </w:tc>
        <w:tc>
          <w:tcPr>
            <w:tcW w:w="5260" w:type="dxa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12D1150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雨花台区西善桥龙西路78号、南京市雨花台区七贤街16-85、16-86、南京市雨花台区西善桥街道凤信路72号209-210室、南京市雨花台区古遗井社区琉云路5号102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BA2AAE4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2025-2026年度医疗机构、放射诊疗校验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A9F2F6D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3304405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20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F732082">
            <w:pPr>
              <w:widowControl/>
              <w:adjustRightInd w:val="0"/>
              <w:snapToGrid w:val="0"/>
              <w:jc w:val="center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3</w:t>
            </w:r>
          </w:p>
        </w:tc>
        <w:tc>
          <w:tcPr>
            <w:tcW w:w="4133" w:type="dxa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8647CDB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南京市雨花台区铁心桥社区卫生服务中心</w:t>
            </w:r>
          </w:p>
        </w:tc>
        <w:tc>
          <w:tcPr>
            <w:tcW w:w="5260" w:type="dxa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D851447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市雨花台区铁心桥大街28号、南京市雨花台区铁心桥街道景明佳园春景苑18栋、南京市雨花台区铁心桥街道春江新城沁顺坊3幢、南京市雨花台区铁心桥街道定坊社区福园路9号、南京市雨花台区铁心桥街道春园路8号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F0A939B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2025-2026年度医疗机构、放射诊疗校验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2BB107C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06F4BA4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20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85A931A">
            <w:pPr>
              <w:widowControl/>
              <w:adjustRightInd w:val="0"/>
              <w:snapToGrid w:val="0"/>
              <w:jc w:val="center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4</w:t>
            </w:r>
          </w:p>
        </w:tc>
        <w:tc>
          <w:tcPr>
            <w:tcW w:w="4133" w:type="dxa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0E680B38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南京雨花德摩可口腔门诊部</w:t>
            </w:r>
          </w:p>
        </w:tc>
        <w:tc>
          <w:tcPr>
            <w:tcW w:w="5260" w:type="dxa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122445CD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南京市雨花台区陇淮路15号2幢101室2层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387E9BD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2025-2026年度医疗机构、放射诊疗校验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1EBE086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136ED15B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20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046927">
            <w:pPr>
              <w:widowControl/>
              <w:adjustRightInd w:val="0"/>
              <w:snapToGrid w:val="0"/>
              <w:jc w:val="center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5</w:t>
            </w:r>
          </w:p>
        </w:tc>
        <w:tc>
          <w:tcPr>
            <w:tcW w:w="4133" w:type="dxa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ADED667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南京雨花聚仁中医门诊部</w:t>
            </w:r>
          </w:p>
        </w:tc>
        <w:tc>
          <w:tcPr>
            <w:tcW w:w="5260" w:type="dxa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4741627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南京市雨花台区梅山村邱村69-10号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291DDC85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2025-2026年度医疗机构校验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77B09BEB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  <w:tr w14:paraId="668A12E9">
        <w:tblPrEx>
          <w:tblBorders>
            <w:top w:val="single" w:color="auto" w:sz="8" w:space="0"/>
            <w:left w:val="single" w:color="auto" w:sz="8" w:space="0"/>
            <w:bottom w:val="single" w:color="auto" w:sz="8" w:space="0"/>
            <w:right w:val="single" w:color="auto" w:sz="8" w:space="0"/>
            <w:insideH w:val="single" w:color="auto" w:sz="8" w:space="0"/>
            <w:insideV w:val="single" w:color="auto" w:sz="8" w:space="0"/>
          </w:tblBorders>
          <w:tblCellMar>
            <w:top w:w="15" w:type="dxa"/>
            <w:left w:w="15" w:type="dxa"/>
            <w:bottom w:w="15" w:type="dxa"/>
            <w:right w:w="15" w:type="dxa"/>
          </w:tblCellMar>
        </w:tblPrEx>
        <w:trPr>
          <w:trHeight w:val="398" w:hRule="atLeast"/>
          <w:jc w:val="center"/>
        </w:trPr>
        <w:tc>
          <w:tcPr>
            <w:tcW w:w="204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C5C44FB">
            <w:pPr>
              <w:widowControl/>
              <w:adjustRightInd w:val="0"/>
              <w:snapToGrid w:val="0"/>
              <w:jc w:val="center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6</w:t>
            </w:r>
          </w:p>
        </w:tc>
        <w:tc>
          <w:tcPr>
            <w:tcW w:w="4133" w:type="dxa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5E2775EF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 xml:space="preserve"> 南京雨花青禾诊所                                                                       </w:t>
            </w:r>
          </w:p>
        </w:tc>
        <w:tc>
          <w:tcPr>
            <w:tcW w:w="5260" w:type="dxa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43CD90F1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南京市雨花台区铁心桥街道西春路雍禧华府3幢33室</w:t>
            </w:r>
          </w:p>
        </w:tc>
        <w:tc>
          <w:tcPr>
            <w:tcW w:w="1062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3E995332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2025-2026年度放射诊疗校验</w:t>
            </w:r>
          </w:p>
        </w:tc>
        <w:tc>
          <w:tcPr>
            <w:tcW w:w="475" w:type="pct"/>
            <w:tcBorders>
              <w:tl2br w:val="nil"/>
              <w:tr2bl w:val="nil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14:paraId="695B9721">
            <w:pPr>
              <w:widowControl/>
              <w:adjustRightInd w:val="0"/>
              <w:snapToGrid w:val="0"/>
              <w:jc w:val="both"/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kern w:val="0"/>
                <w:sz w:val="28"/>
                <w:szCs w:val="28"/>
                <w:lang w:val="en-US" w:eastAsia="zh-CN" w:bidi="ar"/>
              </w:rPr>
              <w:t>校验合格</w:t>
            </w:r>
          </w:p>
        </w:tc>
      </w:tr>
    </w:tbl>
    <w:p w14:paraId="655C4C73">
      <w:pPr>
        <w:widowControl/>
        <w:adjustRightInd w:val="0"/>
        <w:snapToGrid w:val="0"/>
        <w:jc w:val="both"/>
        <w:rPr>
          <w:rFonts w:hint="eastAsia" w:ascii="Times New Roman" w:hAnsi="Times New Roman" w:eastAsia="方正仿宋_GBK" w:cs="Times New Roman"/>
          <w:kern w:val="0"/>
          <w:sz w:val="28"/>
          <w:szCs w:val="28"/>
          <w:lang w:val="en-US" w:eastAsia="zh-CN" w:bidi="ar"/>
        </w:rPr>
      </w:pPr>
    </w:p>
    <w:p w14:paraId="7975CF1A">
      <w:pPr>
        <w:widowControl/>
        <w:adjustRightInd w:val="0"/>
        <w:snapToGrid w:val="0"/>
        <w:jc w:val="both"/>
        <w:rPr>
          <w:rFonts w:hint="eastAsia" w:ascii="Times New Roman" w:hAnsi="Times New Roman" w:eastAsia="方正仿宋_GBK" w:cs="Times New Roman"/>
          <w:kern w:val="0"/>
          <w:sz w:val="28"/>
          <w:szCs w:val="28"/>
          <w:lang w:val="en-US" w:eastAsia="zh-CN" w:bidi="ar"/>
        </w:rPr>
      </w:pPr>
    </w:p>
    <w:p w14:paraId="371E84DF"/>
    <w:sectPr>
      <w:pgSz w:w="16838" w:h="11906" w:orient="landscape"/>
      <w:pgMar w:top="1020" w:right="1304" w:bottom="1020" w:left="1304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668ACCA0-A332-7861-733F-E7698FF49027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9F7E6442-D597-84AB-733F-E769A5E67DF8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  <w:embedRegular r:id="rId3" w:fontKey="{F1D5021B-0F49-39A6-733F-E769E13B13E9}"/>
  </w:font>
  <w:font w:name="方正楷体简体">
    <w:panose1 w:val="02000000000000000000"/>
    <w:charset w:val="86"/>
    <w:family w:val="script"/>
    <w:pitch w:val="default"/>
    <w:sig w:usb0="A00002BF" w:usb1="184F6CFA" w:usb2="00000012" w:usb3="00000000" w:csb0="00040001" w:csb1="00000000"/>
    <w:embedRegular r:id="rId4" w:fontKey="{855197B4-BABE-4FB2-733F-E769B613C076}"/>
  </w:font>
  <w:font w:name="方正仿宋_GBK">
    <w:panose1 w:val="02000000000000000000"/>
    <w:charset w:val="86"/>
    <w:family w:val="script"/>
    <w:pitch w:val="default"/>
    <w:sig w:usb0="A00002BF" w:usb1="38CF7CFA" w:usb2="00082016" w:usb3="00000000" w:csb0="00040001" w:csb1="00000000"/>
    <w:embedRegular r:id="rId5" w:fontKey="{1676EBEB-FBA5-45A4-733F-E7693791DB20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6" w:fontKey="{C6C40D28-2AE3-12AA-733F-E769CFA21999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5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BFA4C4A"/>
    <w:rsid w:val="7BFA4C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4" Type="http://schemas.openxmlformats.org/officeDocument/2006/relationships/fontTable" Target="fontTable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Office_12.8.2.19313_F1E327BC-269C-435d-A152-05C5408002CA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2026-04-21T17:11:00Z</dcterms:created>
  <dc:creator>wjw</dc:creator>
  <cp:lastModifiedBy>wjw</cp:lastModifiedBy>
  <dcterms:modified xsi:type="dcterms:W3CDTF">2026-04-21T17:12:18Z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2052-12.8.2.19313</vt:lpwstr>
  </property>
  <property fmtid="{D5CDD505-2E9C-101B-9397-08002B2CF9AE}" pid="3" name="ICV">
    <vt:lpwstr>70CA634FBBA46825493FE7694ECD771F_41</vt:lpwstr>
  </property>
</Properties>
</file>