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F8A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Arial" w:hAnsi="Arial" w:eastAsia="宋体" w:cs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Arial" w:hAnsi="Arial" w:eastAsia="宋体" w:cs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附</w:t>
      </w:r>
      <w:r>
        <w:rPr>
          <w:rFonts w:hint="eastAsia" w:ascii="Arial" w:hAnsi="Arial" w:eastAsia="宋体" w:cs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>件</w:t>
      </w:r>
      <w:r>
        <w:rPr>
          <w:rFonts w:ascii="Arial" w:hAnsi="Arial" w:eastAsia="宋体" w:cs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：</w:t>
      </w:r>
      <w:r>
        <w:rPr>
          <w:rFonts w:hint="eastAsia" w:ascii="Arial" w:hAnsi="Arial" w:eastAsia="宋体" w:cs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eastAsia" w:ascii="Arial" w:hAnsi="Arial" w:eastAsia="宋体" w:cs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eastAsia="zh-CN"/>
        </w:rPr>
        <w:t>9号路智慧监管综合治理平台项目</w:t>
      </w:r>
      <w:r>
        <w:rPr>
          <w:rFonts w:hint="eastAsia" w:ascii="Arial" w:hAnsi="Arial" w:eastAsia="宋体" w:cs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审计服务</w:t>
      </w:r>
      <w:r>
        <w:rPr>
          <w:rFonts w:hint="eastAsia" w:ascii="Arial" w:hAnsi="Arial" w:eastAsia="宋体" w:cs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>评分标准</w:t>
      </w: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5953"/>
        <w:gridCol w:w="901"/>
      </w:tblGrid>
      <w:tr w14:paraId="2DB61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/>
            <w:vAlign w:val="center"/>
          </w:tcPr>
          <w:p w14:paraId="1EA04078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851" w:type="dxa"/>
            <w:noWrap/>
            <w:vAlign w:val="center"/>
          </w:tcPr>
          <w:p w14:paraId="279A7F99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评分项目</w:t>
            </w:r>
          </w:p>
        </w:tc>
        <w:tc>
          <w:tcPr>
            <w:tcW w:w="5953" w:type="dxa"/>
            <w:noWrap/>
            <w:vAlign w:val="center"/>
          </w:tcPr>
          <w:p w14:paraId="15EBE3FA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评审细则</w:t>
            </w:r>
          </w:p>
        </w:tc>
        <w:tc>
          <w:tcPr>
            <w:tcW w:w="901" w:type="dxa"/>
            <w:noWrap/>
            <w:vAlign w:val="center"/>
          </w:tcPr>
          <w:p w14:paraId="449E29D9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分值</w:t>
            </w:r>
          </w:p>
        </w:tc>
      </w:tr>
      <w:tr w14:paraId="22F8E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/>
            <w:vAlign w:val="center"/>
          </w:tcPr>
          <w:p w14:paraId="5DDD00D8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19DA919C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报价</w:t>
            </w:r>
          </w:p>
        </w:tc>
        <w:tc>
          <w:tcPr>
            <w:tcW w:w="5953" w:type="dxa"/>
            <w:noWrap/>
            <w:vAlign w:val="top"/>
          </w:tcPr>
          <w:p w14:paraId="3F8C3CBE">
            <w:pPr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价格分采用低价优先法计算，即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满足采购</w:t>
            </w:r>
            <w:r>
              <w:rPr>
                <w:rFonts w:ascii="宋体" w:hAnsi="宋体" w:eastAsia="宋体" w:cs="宋体"/>
                <w:sz w:val="24"/>
                <w:szCs w:val="24"/>
              </w:rPr>
              <w:t>文件要求且报价最低的供应商报价为评标基准价，其价格分为满分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  <w:r>
              <w:rPr>
                <w:rFonts w:ascii="宋体" w:hAnsi="宋体" w:eastAsia="宋体" w:cs="宋体"/>
                <w:sz w:val="24"/>
                <w:szCs w:val="24"/>
              </w:rPr>
              <w:t>分，其它供应商的价格分统一按照以下公式计算：报价得分=(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评标基准价</w:t>
            </w:r>
            <w:r>
              <w:rPr>
                <w:rFonts w:ascii="宋体" w:hAnsi="宋体" w:eastAsia="宋体" w:cs="宋体"/>
                <w:sz w:val="24"/>
                <w:szCs w:val="24"/>
              </w:rPr>
              <w:t>/该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评审</w:t>
            </w:r>
            <w:r>
              <w:rPr>
                <w:rFonts w:ascii="宋体" w:hAnsi="宋体" w:eastAsia="宋体" w:cs="宋体"/>
                <w:sz w:val="24"/>
                <w:szCs w:val="24"/>
              </w:rPr>
              <w:t>报价)*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</w:tc>
        <w:tc>
          <w:tcPr>
            <w:tcW w:w="901" w:type="dxa"/>
            <w:noWrap/>
            <w:vAlign w:val="center"/>
          </w:tcPr>
          <w:p w14:paraId="21FC4985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10分</w:t>
            </w:r>
          </w:p>
        </w:tc>
      </w:tr>
      <w:tr w14:paraId="049E1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/>
            <w:vAlign w:val="center"/>
          </w:tcPr>
          <w:p w14:paraId="0F28ABF3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3FB9699F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类似业绩</w:t>
            </w:r>
          </w:p>
        </w:tc>
        <w:tc>
          <w:tcPr>
            <w:tcW w:w="5953" w:type="dxa"/>
            <w:noWrap/>
            <w:vAlign w:val="top"/>
          </w:tcPr>
          <w:p w14:paraId="7E29CC8B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2022年1月1日以来，供应商承担过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信息化建设项目造价咨询服务或财务决算审计服务的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，得5分/个（满分15分。须提供合同协议书等证明材料复印件，加盖供应商公章装订在响应文件中，原件备查。时间以合同签订时间为准。未提供的或提供相关证明材料无法反映有关数据或内容的，不得分）。</w:t>
            </w:r>
          </w:p>
        </w:tc>
        <w:tc>
          <w:tcPr>
            <w:tcW w:w="901" w:type="dxa"/>
            <w:noWrap/>
            <w:vAlign w:val="center"/>
          </w:tcPr>
          <w:p w14:paraId="38FBB033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15分</w:t>
            </w:r>
          </w:p>
        </w:tc>
      </w:tr>
      <w:tr w14:paraId="79D6D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noWrap/>
            <w:vAlign w:val="center"/>
          </w:tcPr>
          <w:p w14:paraId="208DA5B7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35E418D3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团队人员</w:t>
            </w:r>
          </w:p>
        </w:tc>
        <w:tc>
          <w:tcPr>
            <w:tcW w:w="5953" w:type="dxa"/>
            <w:noWrap/>
            <w:vAlign w:val="top"/>
          </w:tcPr>
          <w:p w14:paraId="26D3D0CE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结算审计负责人具有高级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工程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师及以上职称的，得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4分（满分4分。须提供结算审计负责人职称证书复印件，加盖供应商公章装订在响应文件中，原件备查。未提供的，不得分）。</w:t>
            </w:r>
          </w:p>
        </w:tc>
        <w:tc>
          <w:tcPr>
            <w:tcW w:w="901" w:type="dxa"/>
            <w:vMerge w:val="restart"/>
            <w:noWrap/>
            <w:vAlign w:val="center"/>
          </w:tcPr>
          <w:p w14:paraId="6BA4761A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24分</w:t>
            </w:r>
          </w:p>
        </w:tc>
      </w:tr>
      <w:tr w14:paraId="0F87E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noWrap/>
            <w:vAlign w:val="center"/>
          </w:tcPr>
          <w:p w14:paraId="06665305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noWrap/>
            <w:vAlign w:val="center"/>
          </w:tcPr>
          <w:p w14:paraId="18B6AD7F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noWrap/>
            <w:vAlign w:val="top"/>
          </w:tcPr>
          <w:p w14:paraId="4C67D161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除国家一级注册造价工程师（原国家注册造价工程师）执业资格外，结算审计负责人具有其他工程类注册执业资格的，得4分（满分4分。须提供项目负责人相关注册证书复印件，加盖供应商公章装订在响应文件中，原件备查。其他工程类注册执业资格包括一级注册建筑师、一级注册结构工程师及其他勘察设计注册工程师、一级注册建造师、国家注册监理工程师，且须注册在供应商单位。未提供的，不得分）。</w:t>
            </w:r>
          </w:p>
        </w:tc>
        <w:tc>
          <w:tcPr>
            <w:tcW w:w="901" w:type="dxa"/>
            <w:vMerge w:val="continue"/>
            <w:noWrap/>
            <w:vAlign w:val="center"/>
          </w:tcPr>
          <w:p w14:paraId="0B056BB1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38822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noWrap/>
            <w:vAlign w:val="center"/>
          </w:tcPr>
          <w:p w14:paraId="54D444B1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noWrap/>
            <w:vAlign w:val="center"/>
          </w:tcPr>
          <w:p w14:paraId="56965343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noWrap/>
            <w:vAlign w:val="top"/>
          </w:tcPr>
          <w:p w14:paraId="6A135A02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除结算审计负责人外，供应商为本项目配备有其他具有一级注册造价工程师证书（原国家注册造价工程师证书）人员，且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具有高级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工程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师及以上职称的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，得4分/人（满分8分。须提供相关人员一级注册造价工程师证书（原国家注册造价工程师证书）复印件、职称证书复印件、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社保机构出具的近三个月（202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月至202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）供应商为其缴纳社保的证明材料复印件（若相关人员属离退休人员、事业单位、现役军人等客观原因无法提供社保缴费证明，必须出具相关证明材料，否则一律按未提供社保缴费证明材料处理），加盖供应商公章装订在响应文件中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，原件备查。未提供的，不得分）。</w:t>
            </w:r>
          </w:p>
        </w:tc>
        <w:tc>
          <w:tcPr>
            <w:tcW w:w="901" w:type="dxa"/>
            <w:vMerge w:val="continue"/>
            <w:noWrap/>
            <w:vAlign w:val="center"/>
          </w:tcPr>
          <w:p w14:paraId="3D03EAF7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5F0FF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noWrap/>
            <w:vAlign w:val="center"/>
          </w:tcPr>
          <w:p w14:paraId="279B32C4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noWrap/>
            <w:vAlign w:val="center"/>
          </w:tcPr>
          <w:p w14:paraId="4A8AE92B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noWrap/>
            <w:vAlign w:val="top"/>
          </w:tcPr>
          <w:p w14:paraId="4004A28C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决算审计负责人具有高级会计师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及以上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职称的，得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4分（满分4分。须提供决算审计负责人职称证书复印件，加盖供应商公章装订在响应文件中，原件备查。未提供的，不得分）。</w:t>
            </w:r>
          </w:p>
        </w:tc>
        <w:tc>
          <w:tcPr>
            <w:tcW w:w="901" w:type="dxa"/>
            <w:vMerge w:val="continue"/>
            <w:noWrap/>
            <w:vAlign w:val="center"/>
          </w:tcPr>
          <w:p w14:paraId="5BBAE515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7AFBE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noWrap/>
            <w:vAlign w:val="center"/>
          </w:tcPr>
          <w:p w14:paraId="78FE3454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noWrap/>
            <w:vAlign w:val="center"/>
          </w:tcPr>
          <w:p w14:paraId="7EAA7682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noWrap/>
            <w:vAlign w:val="top"/>
          </w:tcPr>
          <w:p w14:paraId="65B01C1C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除决算审计负责人外，供应商为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本项目配备有其他具有注册会计师证书，且具有高级会计师及以上职称的，得4分（满分4分。须提供相关人员注册会计师证书复印件、职称证书复印件、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社保机构出具的近三个月（202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月至202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）供应商为其缴纳社保的证明材料复印件（若相关人员属离退休人员、事业单位、现役军人等客观原因无法提供社保缴费证明，必须出具相关证明材料，否则一律按未提供社保缴费证明材料处理），加盖供应商公章装订在响应文件中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，原件备查。未提供的，不得分）。</w:t>
            </w:r>
          </w:p>
        </w:tc>
        <w:tc>
          <w:tcPr>
            <w:tcW w:w="901" w:type="dxa"/>
            <w:vMerge w:val="continue"/>
            <w:noWrap/>
            <w:vAlign w:val="center"/>
          </w:tcPr>
          <w:p w14:paraId="4D086CBE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40D87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/>
            <w:vAlign w:val="center"/>
          </w:tcPr>
          <w:p w14:paraId="601AEDFB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0C64373B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履约能力</w:t>
            </w:r>
          </w:p>
        </w:tc>
        <w:tc>
          <w:tcPr>
            <w:tcW w:w="5953" w:type="dxa"/>
            <w:noWrap/>
            <w:vAlign w:val="top"/>
          </w:tcPr>
          <w:p w14:paraId="5B0DC4B5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供应商具有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质量管理体系认证证书、环境管理体系认证证书和职业健康安全管理体系认证证书的，得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分/个（满分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分。须提供相关有效认证证书复印件，加盖供应商公章装订在响应文件中，原件备查。未提供的，不得分。以联合体身份响应的，以联合体牵头人情况为准）。</w:t>
            </w:r>
          </w:p>
        </w:tc>
        <w:tc>
          <w:tcPr>
            <w:tcW w:w="901" w:type="dxa"/>
            <w:noWrap/>
            <w:vAlign w:val="center"/>
          </w:tcPr>
          <w:p w14:paraId="6FEA42FA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分</w:t>
            </w:r>
          </w:p>
        </w:tc>
      </w:tr>
      <w:tr w14:paraId="0796D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/>
            <w:vAlign w:val="center"/>
          </w:tcPr>
          <w:p w14:paraId="09A8CDBE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5867B619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服务承诺</w:t>
            </w:r>
          </w:p>
        </w:tc>
        <w:tc>
          <w:tcPr>
            <w:tcW w:w="5953" w:type="dxa"/>
            <w:noWrap/>
            <w:vAlign w:val="top"/>
          </w:tcPr>
          <w:p w14:paraId="01329540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供应商承诺如遇紧急情况，能够配合采购人加班加点完成本项目服务工作的，得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5分（满分5分。提供承诺书加盖供应商公章，装订在响应文件中，格式自拟。未提供的，不得分）。</w:t>
            </w:r>
          </w:p>
        </w:tc>
        <w:tc>
          <w:tcPr>
            <w:tcW w:w="901" w:type="dxa"/>
            <w:noWrap/>
            <w:vAlign w:val="center"/>
          </w:tcPr>
          <w:p w14:paraId="66F3613F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5分</w:t>
            </w:r>
          </w:p>
        </w:tc>
      </w:tr>
      <w:tr w14:paraId="40D14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noWrap/>
            <w:vAlign w:val="center"/>
          </w:tcPr>
          <w:p w14:paraId="446EF52E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380DEC73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服务方案</w:t>
            </w:r>
          </w:p>
        </w:tc>
        <w:tc>
          <w:tcPr>
            <w:tcW w:w="5953" w:type="dxa"/>
            <w:noWrap/>
            <w:vAlign w:val="top"/>
          </w:tcPr>
          <w:p w14:paraId="3FD4E3C4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岗位分工和职责：评委根据供应商提供的岗位分工与职责方案进行评分，包括但不限于：人员配备、岗位设置、责任划分等（满分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8分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）：优得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8分；良得6分；中得4分；差得2分；无得0分。</w:t>
            </w:r>
          </w:p>
        </w:tc>
        <w:tc>
          <w:tcPr>
            <w:tcW w:w="901" w:type="dxa"/>
            <w:vMerge w:val="restart"/>
            <w:noWrap/>
            <w:vAlign w:val="center"/>
          </w:tcPr>
          <w:p w14:paraId="13733D2F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分</w:t>
            </w:r>
          </w:p>
        </w:tc>
      </w:tr>
      <w:tr w14:paraId="6AC54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noWrap/>
            <w:vAlign w:val="center"/>
          </w:tcPr>
          <w:p w14:paraId="5B5FBCC1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noWrap/>
            <w:vAlign w:val="center"/>
          </w:tcPr>
          <w:p w14:paraId="33D3B27D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noWrap/>
            <w:vAlign w:val="top"/>
          </w:tcPr>
          <w:p w14:paraId="0F84C11D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人员投入方案：评委根据供应商提供的本项目投入人员的数量、专业分布、职称情况进行打分（满分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8分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）：优得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8分；良得6分；中得4分；差得2分；无得0分。</w:t>
            </w:r>
          </w:p>
        </w:tc>
        <w:tc>
          <w:tcPr>
            <w:tcW w:w="901" w:type="dxa"/>
            <w:vMerge w:val="continue"/>
            <w:noWrap/>
            <w:vAlign w:val="center"/>
          </w:tcPr>
          <w:p w14:paraId="2E87D535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1878B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noWrap/>
            <w:vAlign w:val="center"/>
          </w:tcPr>
          <w:p w14:paraId="3DD577B1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noWrap/>
            <w:vAlign w:val="center"/>
          </w:tcPr>
          <w:p w14:paraId="22234409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noWrap/>
            <w:vAlign w:val="top"/>
          </w:tcPr>
          <w:p w14:paraId="487D9729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项目实施技术路线与工作流程：评委根据供应商提供的项目实施技术路线与工作流程进行评分，包括但不限于：工作流程、工作方法、重难点分析等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（满分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10分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）：优得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10分；良得7.5分；中得5分；差得2.5分；无得0分。</w:t>
            </w:r>
          </w:p>
        </w:tc>
        <w:tc>
          <w:tcPr>
            <w:tcW w:w="901" w:type="dxa"/>
            <w:vMerge w:val="continue"/>
            <w:noWrap/>
            <w:vAlign w:val="center"/>
          </w:tcPr>
          <w:p w14:paraId="1B8FF60F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60D9C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noWrap/>
            <w:vAlign w:val="center"/>
          </w:tcPr>
          <w:p w14:paraId="2DC172E6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noWrap/>
            <w:vAlign w:val="center"/>
          </w:tcPr>
          <w:p w14:paraId="4F8A0756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noWrap/>
            <w:vAlign w:val="top"/>
          </w:tcPr>
          <w:p w14:paraId="04B2AA92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质量控制方案：评委根据供应商提供的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质量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控制方案进行评分，包括但不限于：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质量复核管理方案、内控方案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等（满分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10分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）：优得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10分；良得7.5分；中得5分；差得2.5分；无得0分。</w:t>
            </w:r>
          </w:p>
        </w:tc>
        <w:tc>
          <w:tcPr>
            <w:tcW w:w="901" w:type="dxa"/>
            <w:vMerge w:val="continue"/>
            <w:noWrap/>
            <w:vAlign w:val="center"/>
          </w:tcPr>
          <w:p w14:paraId="7B56D89B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198D9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noWrap/>
            <w:vAlign w:val="center"/>
          </w:tcPr>
          <w:p w14:paraId="56783EA9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noWrap/>
            <w:vAlign w:val="center"/>
          </w:tcPr>
          <w:p w14:paraId="0AAAFAEA">
            <w:pPr>
              <w:spacing w:line="360" w:lineRule="auto"/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noWrap/>
            <w:vAlign w:val="top"/>
          </w:tcPr>
          <w:p w14:paraId="21DF113D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sz w:val="24"/>
                <w:szCs w:val="24"/>
              </w:rPr>
              <w:t>进度保障措施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：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评委根据供应商提供的完成期限承诺、进度保障措施等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进行评分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（满分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）：优得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分；良得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分；中得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分；差得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分；无得0分。</w:t>
            </w:r>
          </w:p>
        </w:tc>
        <w:tc>
          <w:tcPr>
            <w:tcW w:w="901" w:type="dxa"/>
            <w:vMerge w:val="continue"/>
            <w:noWrap/>
            <w:vAlign w:val="center"/>
          </w:tcPr>
          <w:p w14:paraId="5A4E2A28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</w:tbl>
    <w:p w14:paraId="49FE5132">
      <w:pPr>
        <w:rPr>
          <w:rFonts w:ascii="Calibri" w:hAnsi="Calibri" w:eastAsia="宋体" w:cs="Times New Roman"/>
        </w:rPr>
      </w:pPr>
    </w:p>
    <w:p w14:paraId="603570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Arial" w:hAnsi="Arial" w:eastAsia="宋体" w:cs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</w:pPr>
    </w:p>
    <w:p w14:paraId="5DD52E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0261D"/>
    <w:rsid w:val="2E50261D"/>
    <w:rsid w:val="35E0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1730</Words>
  <Characters>1771</Characters>
  <Lines>0</Lines>
  <Paragraphs>0</Paragraphs>
  <TotalTime>0</TotalTime>
  <ScaleCrop>false</ScaleCrop>
  <LinksUpToDate>false</LinksUpToDate>
  <CharactersWithSpaces>1771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2026-08-11T02:32:00Z</dcterms:created>
  <dc:creator>那。</dc:creator>
  <cp:lastModifiedBy>刘学</cp:lastModifiedBy>
  <dcterms:modified xsi:type="dcterms:W3CDTF">2026-08-11T08:02:57Z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91032968FE6D442CBAFD1D1F5ECAEAB0_11</vt:lpwstr>
  </property>
  <property fmtid="{D5CDD505-2E9C-101B-9397-08002B2CF9AE}" pid="4" name="KSOTemplateDocerSaveRecord">
    <vt:lpwstr>eyJoZGlkIjoiMzRjZTYwN2Y1Yzg1NmY0NDRhMzgxZmM0OTNiNWI3ZjMiLCJ1c2VySWQiOiI0ODMyMTAyNDYifQ==</vt:lpwstr>
  </property>
</Properties>
</file>